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6F1" w:rsidRDefault="00B466F1">
      <w:pPr>
        <w:rPr>
          <w:rFonts w:ascii="Garamond" w:hAnsi="Garamond"/>
          <w:b/>
          <w:bCs/>
          <w:sz w:val="22"/>
          <w:szCs w:val="22"/>
        </w:rPr>
      </w:pPr>
    </w:p>
    <w:p w:rsidR="00B466F1" w:rsidRDefault="00B466F1">
      <w:pPr>
        <w:rPr>
          <w:rFonts w:ascii="Garamond" w:hAnsi="Garamond"/>
          <w:b/>
          <w:bCs/>
          <w:sz w:val="22"/>
          <w:szCs w:val="22"/>
        </w:rPr>
      </w:pPr>
    </w:p>
    <w:p w:rsidR="00B466F1" w:rsidRDefault="00B466F1">
      <w:pPr>
        <w:rPr>
          <w:rFonts w:ascii="Garamond" w:hAnsi="Garamond"/>
          <w:b/>
          <w:bCs/>
          <w:sz w:val="22"/>
          <w:szCs w:val="22"/>
        </w:rPr>
      </w:pPr>
    </w:p>
    <w:p w:rsidR="00B466F1" w:rsidRDefault="00B466F1">
      <w:pPr>
        <w:rPr>
          <w:rFonts w:ascii="Garamond" w:hAnsi="Garamond"/>
          <w:b/>
          <w:bCs/>
          <w:sz w:val="22"/>
          <w:szCs w:val="22"/>
        </w:rPr>
      </w:pPr>
    </w:p>
    <w:p w:rsidR="00B466F1" w:rsidRDefault="00B466F1">
      <w:pPr>
        <w:rPr>
          <w:rFonts w:ascii="Garamond" w:hAnsi="Garamond"/>
          <w:b/>
          <w:bCs/>
          <w:sz w:val="22"/>
          <w:szCs w:val="22"/>
        </w:rPr>
      </w:pPr>
    </w:p>
    <w:p w:rsidR="004D1931" w:rsidRDefault="004D1931">
      <w:pPr>
        <w:rPr>
          <w:rFonts w:ascii="Garamond" w:hAnsi="Garamond"/>
          <w:sz w:val="22"/>
          <w:szCs w:val="22"/>
        </w:rPr>
      </w:pPr>
      <w:r>
        <w:rPr>
          <w:rFonts w:ascii="Garamond" w:hAnsi="Garamond"/>
          <w:b/>
          <w:bCs/>
          <w:sz w:val="22"/>
          <w:szCs w:val="22"/>
        </w:rPr>
        <w:t>PURPOSE:</w:t>
      </w:r>
    </w:p>
    <w:p w:rsidR="002C59FE" w:rsidRDefault="002C59FE">
      <w:pPr>
        <w:rPr>
          <w:rFonts w:ascii="Garamond" w:hAnsi="Garamond"/>
          <w:sz w:val="22"/>
          <w:szCs w:val="22"/>
        </w:rPr>
      </w:pPr>
    </w:p>
    <w:p w:rsidR="00B0078D" w:rsidRPr="00B0078D" w:rsidRDefault="00B0078D" w:rsidP="00B0078D">
      <w:pPr>
        <w:rPr>
          <w:rFonts w:ascii="Garamond" w:hAnsi="Garamond"/>
          <w:sz w:val="22"/>
          <w:szCs w:val="22"/>
        </w:rPr>
      </w:pPr>
      <w:r w:rsidRPr="00B0078D">
        <w:rPr>
          <w:rFonts w:ascii="Garamond" w:hAnsi="Garamond"/>
          <w:sz w:val="22"/>
          <w:szCs w:val="22"/>
        </w:rPr>
        <w:t xml:space="preserve">To provide guidelines for analyzing and approving applications from local governments requesting waiver, either in part or in full, of the local match or requesting a deferral of payment for such match.   As it is the intent of the Legislature that a local match be required, every effort shall be made to determine if the entity can cover the full match, even if an extended repayment schedule is required.  Only in extreme cases of hardship should match reductions be granted.  A full and complete waiver should only be granted when no other options can be considered.  </w:t>
      </w:r>
    </w:p>
    <w:p w:rsidR="002C59FE" w:rsidRDefault="002C59FE">
      <w:pPr>
        <w:rPr>
          <w:rFonts w:ascii="Garamond" w:hAnsi="Garamond"/>
          <w:sz w:val="22"/>
          <w:szCs w:val="22"/>
        </w:rPr>
      </w:pPr>
    </w:p>
    <w:p w:rsidR="004D1931" w:rsidRDefault="004D1931">
      <w:pPr>
        <w:rPr>
          <w:rFonts w:ascii="Garamond" w:hAnsi="Garamond"/>
          <w:sz w:val="22"/>
          <w:szCs w:val="22"/>
        </w:rPr>
      </w:pPr>
      <w:r>
        <w:rPr>
          <w:rFonts w:ascii="Garamond" w:hAnsi="Garamond"/>
          <w:b/>
          <w:bCs/>
          <w:sz w:val="22"/>
          <w:szCs w:val="22"/>
        </w:rPr>
        <w:t>AUTHORITY:</w:t>
      </w:r>
    </w:p>
    <w:p w:rsidR="002C59FE" w:rsidRDefault="002C59FE">
      <w:pPr>
        <w:rPr>
          <w:rFonts w:ascii="Garamond" w:hAnsi="Garamond"/>
          <w:sz w:val="22"/>
          <w:szCs w:val="22"/>
        </w:rPr>
      </w:pPr>
    </w:p>
    <w:p w:rsidR="00B0078D" w:rsidRPr="00B0078D" w:rsidRDefault="00B0078D" w:rsidP="00B0078D">
      <w:pPr>
        <w:rPr>
          <w:rFonts w:ascii="Garamond" w:hAnsi="Garamond"/>
          <w:sz w:val="22"/>
          <w:szCs w:val="22"/>
        </w:rPr>
      </w:pPr>
      <w:r w:rsidRPr="00B0078D">
        <w:rPr>
          <w:rFonts w:ascii="Garamond" w:hAnsi="Garamond"/>
          <w:sz w:val="22"/>
          <w:szCs w:val="22"/>
        </w:rPr>
        <w:t>The authority for such action is section 252.37, Florida Statutes and it reads:</w:t>
      </w:r>
    </w:p>
    <w:p w:rsidR="00B0078D" w:rsidRPr="00B0078D" w:rsidRDefault="00B0078D" w:rsidP="00B0078D">
      <w:pPr>
        <w:rPr>
          <w:rFonts w:ascii="Garamond" w:hAnsi="Garamond"/>
          <w:sz w:val="22"/>
          <w:szCs w:val="22"/>
        </w:rPr>
      </w:pPr>
    </w:p>
    <w:p w:rsidR="00B0078D" w:rsidRPr="00B0078D" w:rsidRDefault="00B0078D" w:rsidP="00B0078D">
      <w:pPr>
        <w:ind w:left="720" w:right="720"/>
        <w:rPr>
          <w:rFonts w:ascii="Garamond" w:hAnsi="Garamond" w:cs="Courier"/>
          <w:sz w:val="22"/>
          <w:szCs w:val="22"/>
        </w:rPr>
      </w:pPr>
      <w:r w:rsidRPr="00B0078D">
        <w:rPr>
          <w:rFonts w:ascii="Garamond" w:hAnsi="Garamond" w:cs="Courier"/>
          <w:sz w:val="22"/>
          <w:szCs w:val="22"/>
        </w:rPr>
        <w:t xml:space="preserve">(5) Unless otherwise specified in the General Appropriations Act: </w:t>
      </w:r>
    </w:p>
    <w:p w:rsidR="00B0078D" w:rsidRPr="00B0078D" w:rsidRDefault="00B0078D" w:rsidP="00B0078D">
      <w:pPr>
        <w:ind w:left="720" w:right="720"/>
        <w:rPr>
          <w:rFonts w:ascii="Garamond" w:hAnsi="Garamond" w:cs="Courier"/>
          <w:sz w:val="22"/>
          <w:szCs w:val="22"/>
        </w:rPr>
      </w:pPr>
      <w:r w:rsidRPr="00B0078D">
        <w:rPr>
          <w:rFonts w:ascii="Garamond" w:hAnsi="Garamond" w:cs="Courier"/>
          <w:sz w:val="22"/>
          <w:szCs w:val="22"/>
        </w:rPr>
        <w:t>(a) Whenever the state accepts financial assistance from the Federal Government or its agencies under the federal Public Assistance Program and such financial assistance is conditioned upon a requirement for matching funds, the state shall provide the entire match requirement for state agencies and one-half of the required match for grants to local governments. The affected local government shall be required to provide one-half of the required match prior to receipt of such financial assistance.</w:t>
      </w:r>
    </w:p>
    <w:p w:rsidR="00B0078D" w:rsidRPr="00B0078D" w:rsidRDefault="00B0078D" w:rsidP="00B0078D">
      <w:pPr>
        <w:ind w:left="720" w:right="720"/>
        <w:rPr>
          <w:rFonts w:ascii="Garamond" w:hAnsi="Garamond" w:cs="Courier"/>
          <w:sz w:val="22"/>
          <w:szCs w:val="22"/>
        </w:rPr>
      </w:pPr>
      <w:r w:rsidRPr="00B0078D">
        <w:rPr>
          <w:rFonts w:ascii="Garamond" w:hAnsi="Garamond" w:cs="Courier"/>
          <w:sz w:val="22"/>
          <w:szCs w:val="22"/>
        </w:rPr>
        <w:t xml:space="preserve">(b) </w:t>
      </w:r>
      <w:r w:rsidRPr="00D43820">
        <w:rPr>
          <w:rFonts w:ascii="Garamond" w:hAnsi="Garamond" w:cs="Courier"/>
          <w:b/>
          <w:sz w:val="22"/>
          <w:szCs w:val="22"/>
        </w:rPr>
        <w:t>The Executive Office of the Governor may approve a waiver</w:t>
      </w:r>
      <w:r w:rsidRPr="00B0078D">
        <w:rPr>
          <w:rFonts w:ascii="Garamond" w:hAnsi="Garamond" w:cs="Courier"/>
          <w:sz w:val="22"/>
          <w:szCs w:val="22"/>
        </w:rPr>
        <w:t xml:space="preserve">, subject to the requirement for legislative notice and review under s. 216.177, of all or a portion of the required match for public assistance projects for local governments if the Executive Office of the Governor determines that such a match requirement cannot be provided, or that doing so would impose a documented hardship on the local government, and if the local government applies for the waiver within the first 18 months after the disaster is declared. </w:t>
      </w:r>
    </w:p>
    <w:p w:rsidR="00B0078D" w:rsidRPr="00B0078D" w:rsidRDefault="00B0078D" w:rsidP="00B0078D">
      <w:pPr>
        <w:ind w:left="720" w:right="720"/>
        <w:rPr>
          <w:rFonts w:ascii="Garamond" w:hAnsi="Garamond" w:cs="Courier"/>
          <w:sz w:val="22"/>
          <w:szCs w:val="22"/>
        </w:rPr>
      </w:pPr>
      <w:r w:rsidRPr="00B0078D">
        <w:rPr>
          <w:rFonts w:ascii="Garamond" w:hAnsi="Garamond" w:cs="Courier"/>
          <w:sz w:val="22"/>
          <w:szCs w:val="22"/>
        </w:rPr>
        <w:t xml:space="preserve">(6) Whenever the state accepts financial assistance from the Federal Government or its agencies under the federal Hazard Mitigation Assistance Grant Program and such financial assistance is conditioned upon a requirement for matching funds, the eligible subgrantee recipient shall be required to provide the full amount of the required match prior to receipt of such financial assistance unless otherwise specified in the General Appropriations Act. </w:t>
      </w:r>
    </w:p>
    <w:p w:rsidR="004D1931" w:rsidRDefault="004D1931">
      <w:pPr>
        <w:rPr>
          <w:rFonts w:ascii="Garamond" w:hAnsi="Garamond"/>
          <w:sz w:val="22"/>
          <w:szCs w:val="22"/>
        </w:rPr>
      </w:pPr>
    </w:p>
    <w:p w:rsidR="004D1931" w:rsidRDefault="004D1931">
      <w:pPr>
        <w:rPr>
          <w:rFonts w:ascii="Garamond" w:hAnsi="Garamond"/>
          <w:sz w:val="22"/>
          <w:szCs w:val="22"/>
        </w:rPr>
      </w:pPr>
      <w:r>
        <w:rPr>
          <w:rFonts w:ascii="Garamond" w:hAnsi="Garamond"/>
          <w:b/>
          <w:bCs/>
          <w:sz w:val="22"/>
          <w:szCs w:val="22"/>
        </w:rPr>
        <w:t>POLICY:</w:t>
      </w:r>
    </w:p>
    <w:p w:rsidR="004D1931" w:rsidRDefault="004D1931">
      <w:pPr>
        <w:rPr>
          <w:rFonts w:ascii="Garamond" w:hAnsi="Garamond"/>
          <w:sz w:val="22"/>
          <w:szCs w:val="22"/>
        </w:rPr>
      </w:pPr>
    </w:p>
    <w:p w:rsidR="00B0078D" w:rsidRPr="00B0078D" w:rsidRDefault="00B0078D" w:rsidP="00B0078D">
      <w:pPr>
        <w:rPr>
          <w:rFonts w:ascii="Garamond" w:hAnsi="Garamond"/>
          <w:sz w:val="22"/>
          <w:szCs w:val="22"/>
        </w:rPr>
      </w:pPr>
      <w:r w:rsidRPr="00B0078D">
        <w:rPr>
          <w:rFonts w:ascii="Garamond" w:hAnsi="Garamond"/>
          <w:sz w:val="22"/>
          <w:szCs w:val="22"/>
        </w:rPr>
        <w:t>The Office of Policy and Budget</w:t>
      </w:r>
      <w:r w:rsidR="007657B8">
        <w:rPr>
          <w:rFonts w:ascii="Garamond" w:hAnsi="Garamond"/>
          <w:sz w:val="22"/>
          <w:szCs w:val="22"/>
        </w:rPr>
        <w:t xml:space="preserve"> (OPB)</w:t>
      </w:r>
      <w:r w:rsidRPr="00B0078D">
        <w:rPr>
          <w:rFonts w:ascii="Garamond" w:hAnsi="Garamond"/>
          <w:sz w:val="22"/>
          <w:szCs w:val="22"/>
        </w:rPr>
        <w:t xml:space="preserve"> will review applications and supporting documents, and transmit the final decision in writing to the requesting entity.  If a payment deferral is granted, a repayment schedule shall be drawn up and signed by the entity and the OPB </w:t>
      </w:r>
      <w:r>
        <w:rPr>
          <w:rFonts w:ascii="Garamond" w:hAnsi="Garamond"/>
          <w:sz w:val="22"/>
          <w:szCs w:val="22"/>
        </w:rPr>
        <w:t>D</w:t>
      </w:r>
      <w:r w:rsidRPr="00B0078D">
        <w:rPr>
          <w:rFonts w:ascii="Garamond" w:hAnsi="Garamond"/>
          <w:sz w:val="22"/>
          <w:szCs w:val="22"/>
        </w:rPr>
        <w:t xml:space="preserve">irector.  Such repayment schedule shall state that, should the entity fail to make repayment by the time stated, such amount may be deducted from the entity’s state shared revenues. </w:t>
      </w:r>
    </w:p>
    <w:p w:rsidR="004D1931" w:rsidRDefault="004D1931">
      <w:pPr>
        <w:rPr>
          <w:rFonts w:ascii="Garamond" w:hAnsi="Garamond"/>
          <w:sz w:val="22"/>
          <w:szCs w:val="22"/>
        </w:rPr>
      </w:pPr>
    </w:p>
    <w:p w:rsidR="004D1931" w:rsidRDefault="004D1931">
      <w:pPr>
        <w:rPr>
          <w:rFonts w:ascii="Garamond" w:hAnsi="Garamond"/>
          <w:sz w:val="22"/>
          <w:szCs w:val="22"/>
        </w:rPr>
      </w:pPr>
      <w:r>
        <w:rPr>
          <w:rFonts w:ascii="Garamond" w:hAnsi="Garamond"/>
          <w:b/>
          <w:bCs/>
          <w:sz w:val="22"/>
          <w:szCs w:val="22"/>
        </w:rPr>
        <w:t>PROCEDURES:</w:t>
      </w:r>
    </w:p>
    <w:p w:rsidR="004D1931" w:rsidRDefault="004D1931">
      <w:pPr>
        <w:pStyle w:val="BodyTextIndent"/>
        <w:rPr>
          <w:sz w:val="22"/>
        </w:rPr>
      </w:pPr>
    </w:p>
    <w:p w:rsidR="00B0078D" w:rsidRPr="00B0078D" w:rsidRDefault="00B0078D" w:rsidP="00B0078D">
      <w:pPr>
        <w:rPr>
          <w:rFonts w:ascii="Garamond" w:hAnsi="Garamond"/>
          <w:sz w:val="22"/>
          <w:szCs w:val="22"/>
        </w:rPr>
      </w:pPr>
      <w:r w:rsidRPr="00B0078D">
        <w:rPr>
          <w:rFonts w:ascii="Garamond" w:hAnsi="Garamond"/>
          <w:sz w:val="22"/>
          <w:szCs w:val="22"/>
        </w:rPr>
        <w:t xml:space="preserve">The </w:t>
      </w:r>
      <w:r w:rsidR="004B6A5C" w:rsidRPr="00B0078D">
        <w:rPr>
          <w:rFonts w:ascii="Garamond" w:hAnsi="Garamond"/>
          <w:sz w:val="22"/>
          <w:szCs w:val="22"/>
        </w:rPr>
        <w:t>highest-ranking elected official (either the mayor or commission chairman) must sign the application</w:t>
      </w:r>
      <w:r w:rsidR="007657B8">
        <w:rPr>
          <w:rFonts w:ascii="Garamond" w:hAnsi="Garamond"/>
          <w:sz w:val="22"/>
          <w:szCs w:val="22"/>
        </w:rPr>
        <w:t xml:space="preserve"> </w:t>
      </w:r>
      <w:r w:rsidR="00EB2747" w:rsidRPr="00B0078D">
        <w:rPr>
          <w:rFonts w:ascii="Garamond" w:hAnsi="Garamond"/>
          <w:sz w:val="22"/>
          <w:szCs w:val="22"/>
        </w:rPr>
        <w:t>from the entity requesting the reduction, waiver or deferral</w:t>
      </w:r>
      <w:r w:rsidR="00EB2747">
        <w:rPr>
          <w:rFonts w:ascii="Garamond" w:hAnsi="Garamond"/>
          <w:sz w:val="22"/>
          <w:szCs w:val="22"/>
        </w:rPr>
        <w:t xml:space="preserve"> </w:t>
      </w:r>
      <w:r w:rsidR="007657B8">
        <w:rPr>
          <w:rFonts w:ascii="Garamond" w:hAnsi="Garamond"/>
          <w:sz w:val="22"/>
          <w:szCs w:val="22"/>
        </w:rPr>
        <w:t xml:space="preserve">and </w:t>
      </w:r>
      <w:r w:rsidRPr="00B0078D">
        <w:rPr>
          <w:rFonts w:ascii="Garamond" w:hAnsi="Garamond"/>
          <w:sz w:val="22"/>
          <w:szCs w:val="22"/>
        </w:rPr>
        <w:t>submitted to OPB.  The information listed in the application is required for OPB to evaluate the application.</w:t>
      </w:r>
      <w:r w:rsidR="00586E5D">
        <w:rPr>
          <w:rFonts w:ascii="Garamond" w:hAnsi="Garamond"/>
          <w:sz w:val="22"/>
          <w:szCs w:val="22"/>
        </w:rPr>
        <w:t xml:space="preserve"> Contact information should be the person who </w:t>
      </w:r>
      <w:r w:rsidR="004B6A5C">
        <w:rPr>
          <w:rFonts w:ascii="Garamond" w:hAnsi="Garamond"/>
          <w:sz w:val="22"/>
          <w:szCs w:val="22"/>
        </w:rPr>
        <w:t xml:space="preserve">has </w:t>
      </w:r>
      <w:r w:rsidR="00586E5D">
        <w:rPr>
          <w:rFonts w:ascii="Garamond" w:hAnsi="Garamond"/>
          <w:sz w:val="22"/>
          <w:szCs w:val="22"/>
        </w:rPr>
        <w:t>completed the application or can provide additional financial information as needed by OPB</w:t>
      </w:r>
      <w:r w:rsidR="004B6A5C">
        <w:rPr>
          <w:rFonts w:ascii="Garamond" w:hAnsi="Garamond"/>
          <w:sz w:val="22"/>
          <w:szCs w:val="22"/>
        </w:rPr>
        <w:t>’s</w:t>
      </w:r>
      <w:r w:rsidR="00586E5D">
        <w:rPr>
          <w:rFonts w:ascii="Garamond" w:hAnsi="Garamond"/>
          <w:sz w:val="22"/>
          <w:szCs w:val="22"/>
        </w:rPr>
        <w:t xml:space="preserve"> Transportation and Economic Development (TED) Unit.</w:t>
      </w:r>
    </w:p>
    <w:p w:rsidR="00B0078D" w:rsidRPr="00B0078D" w:rsidRDefault="00B0078D" w:rsidP="00B0078D">
      <w:pPr>
        <w:rPr>
          <w:rFonts w:ascii="Garamond" w:hAnsi="Garamond"/>
          <w:sz w:val="22"/>
          <w:szCs w:val="22"/>
        </w:rPr>
      </w:pPr>
    </w:p>
    <w:p w:rsidR="00B0078D" w:rsidRPr="00B0078D" w:rsidRDefault="00B0078D" w:rsidP="00B0078D">
      <w:pPr>
        <w:rPr>
          <w:rFonts w:ascii="Garamond" w:hAnsi="Garamond"/>
          <w:b/>
          <w:sz w:val="22"/>
          <w:szCs w:val="22"/>
        </w:rPr>
      </w:pPr>
      <w:r w:rsidRPr="00B0078D">
        <w:rPr>
          <w:rFonts w:ascii="Garamond" w:hAnsi="Garamond"/>
          <w:b/>
          <w:sz w:val="22"/>
          <w:szCs w:val="22"/>
        </w:rPr>
        <w:t>Review and Recommendation</w:t>
      </w:r>
    </w:p>
    <w:p w:rsidR="00B0078D" w:rsidRPr="00B0078D" w:rsidRDefault="00B0078D" w:rsidP="00B0078D">
      <w:pPr>
        <w:rPr>
          <w:rFonts w:ascii="Garamond" w:hAnsi="Garamond"/>
          <w:sz w:val="22"/>
          <w:szCs w:val="22"/>
        </w:rPr>
      </w:pPr>
    </w:p>
    <w:p w:rsidR="00B0078D" w:rsidRPr="00B0078D" w:rsidRDefault="00B0078D" w:rsidP="00B0078D">
      <w:pPr>
        <w:rPr>
          <w:rFonts w:ascii="Garamond" w:hAnsi="Garamond"/>
          <w:sz w:val="22"/>
          <w:szCs w:val="22"/>
        </w:rPr>
      </w:pPr>
      <w:r w:rsidRPr="00B0078D">
        <w:rPr>
          <w:rFonts w:ascii="Garamond" w:hAnsi="Garamond"/>
          <w:sz w:val="22"/>
          <w:szCs w:val="22"/>
        </w:rPr>
        <w:t xml:space="preserve">Upon receipt of an </w:t>
      </w:r>
      <w:r w:rsidR="00F12D76" w:rsidRPr="00B0078D">
        <w:rPr>
          <w:rFonts w:ascii="Garamond" w:hAnsi="Garamond"/>
          <w:sz w:val="22"/>
          <w:szCs w:val="22"/>
        </w:rPr>
        <w:t>application,</w:t>
      </w:r>
      <w:r w:rsidRPr="00B0078D">
        <w:rPr>
          <w:rFonts w:ascii="Garamond" w:hAnsi="Garamond"/>
          <w:sz w:val="22"/>
          <w:szCs w:val="22"/>
        </w:rPr>
        <w:t xml:space="preserve"> it will be date stamped by </w:t>
      </w:r>
      <w:r w:rsidR="002F534B">
        <w:rPr>
          <w:rFonts w:ascii="Garamond" w:hAnsi="Garamond"/>
          <w:sz w:val="22"/>
          <w:szCs w:val="22"/>
        </w:rPr>
        <w:t>OPB</w:t>
      </w:r>
      <w:r w:rsidR="00F12D76">
        <w:rPr>
          <w:rFonts w:ascii="Garamond" w:hAnsi="Garamond"/>
          <w:sz w:val="22"/>
          <w:szCs w:val="22"/>
        </w:rPr>
        <w:t>’s</w:t>
      </w:r>
      <w:r w:rsidR="00B273D0" w:rsidRPr="00B76157">
        <w:rPr>
          <w:rFonts w:ascii="Garamond" w:hAnsi="Garamond"/>
          <w:sz w:val="22"/>
          <w:szCs w:val="22"/>
        </w:rPr>
        <w:t xml:space="preserve"> TED Unit</w:t>
      </w:r>
      <w:r w:rsidR="002F534B" w:rsidRPr="00B76157">
        <w:rPr>
          <w:rFonts w:ascii="Garamond" w:hAnsi="Garamond"/>
          <w:sz w:val="22"/>
          <w:szCs w:val="22"/>
        </w:rPr>
        <w:t xml:space="preserve"> and</w:t>
      </w:r>
      <w:r w:rsidRPr="00B76157">
        <w:rPr>
          <w:rFonts w:ascii="Garamond" w:hAnsi="Garamond"/>
          <w:sz w:val="22"/>
          <w:szCs w:val="22"/>
        </w:rPr>
        <w:t xml:space="preserve"> logged in.  Once logged, the </w:t>
      </w:r>
      <w:r w:rsidR="002F534B" w:rsidRPr="00B76157">
        <w:rPr>
          <w:rFonts w:ascii="Garamond" w:hAnsi="Garamond"/>
          <w:sz w:val="22"/>
          <w:szCs w:val="22"/>
        </w:rPr>
        <w:t>TED</w:t>
      </w:r>
      <w:r w:rsidR="00B273D0" w:rsidRPr="00B76157">
        <w:rPr>
          <w:rFonts w:ascii="Garamond" w:hAnsi="Garamond"/>
          <w:sz w:val="22"/>
          <w:szCs w:val="22"/>
        </w:rPr>
        <w:t xml:space="preserve"> Unit</w:t>
      </w:r>
      <w:r w:rsidR="002F534B">
        <w:rPr>
          <w:rFonts w:ascii="Garamond" w:hAnsi="Garamond"/>
          <w:sz w:val="22"/>
          <w:szCs w:val="22"/>
        </w:rPr>
        <w:t xml:space="preserve"> will </w:t>
      </w:r>
      <w:r w:rsidRPr="00B0078D">
        <w:rPr>
          <w:rFonts w:ascii="Garamond" w:hAnsi="Garamond"/>
          <w:sz w:val="22"/>
          <w:szCs w:val="22"/>
        </w:rPr>
        <w:t>review the application and ensure that all appropriate documentation</w:t>
      </w:r>
      <w:r w:rsidR="00F12D76">
        <w:rPr>
          <w:rFonts w:ascii="Garamond" w:hAnsi="Garamond"/>
          <w:sz w:val="22"/>
          <w:szCs w:val="22"/>
        </w:rPr>
        <w:t xml:space="preserve"> has been</w:t>
      </w:r>
      <w:r w:rsidRPr="00B0078D">
        <w:rPr>
          <w:rFonts w:ascii="Garamond" w:hAnsi="Garamond"/>
          <w:sz w:val="22"/>
          <w:szCs w:val="22"/>
        </w:rPr>
        <w:t xml:space="preserve"> submitted.  If information is missing, the applicant shall be promptly notified, outlining what materials are missing from the application.  If the applicant fails to submit the requested information within an eighteen (18) month period, the application may be considered withdrawn.  </w:t>
      </w:r>
    </w:p>
    <w:p w:rsidR="00B0078D" w:rsidRPr="00B0078D" w:rsidRDefault="00B0078D" w:rsidP="00B0078D">
      <w:pPr>
        <w:rPr>
          <w:rFonts w:ascii="Garamond" w:hAnsi="Garamond"/>
          <w:sz w:val="22"/>
          <w:szCs w:val="22"/>
        </w:rPr>
      </w:pPr>
    </w:p>
    <w:p w:rsidR="00B0078D" w:rsidRPr="00B0078D" w:rsidRDefault="00F43455" w:rsidP="00B0078D">
      <w:pPr>
        <w:rPr>
          <w:rFonts w:ascii="Garamond" w:hAnsi="Garamond"/>
          <w:sz w:val="22"/>
          <w:szCs w:val="22"/>
        </w:rPr>
      </w:pPr>
      <w:r>
        <w:rPr>
          <w:rFonts w:ascii="Garamond" w:hAnsi="Garamond"/>
          <w:sz w:val="22"/>
          <w:szCs w:val="22"/>
        </w:rPr>
        <w:t xml:space="preserve">Upon completion of review, </w:t>
      </w:r>
      <w:r w:rsidR="00B0078D" w:rsidRPr="00B76157">
        <w:rPr>
          <w:rFonts w:ascii="Garamond" w:hAnsi="Garamond"/>
          <w:sz w:val="22"/>
          <w:szCs w:val="22"/>
        </w:rPr>
        <w:t xml:space="preserve">the TED </w:t>
      </w:r>
      <w:r w:rsidRPr="00B76157">
        <w:rPr>
          <w:rFonts w:ascii="Garamond" w:hAnsi="Garamond"/>
          <w:sz w:val="22"/>
          <w:szCs w:val="22"/>
        </w:rPr>
        <w:t>Unit</w:t>
      </w:r>
      <w:r w:rsidR="00B0078D" w:rsidRPr="00B0078D">
        <w:rPr>
          <w:rFonts w:ascii="Garamond" w:hAnsi="Garamond"/>
          <w:sz w:val="22"/>
          <w:szCs w:val="22"/>
        </w:rPr>
        <w:t xml:space="preserve"> make</w:t>
      </w:r>
      <w:r>
        <w:rPr>
          <w:rFonts w:ascii="Garamond" w:hAnsi="Garamond"/>
          <w:sz w:val="22"/>
          <w:szCs w:val="22"/>
        </w:rPr>
        <w:t>s</w:t>
      </w:r>
      <w:r w:rsidR="00B0078D" w:rsidRPr="00B0078D">
        <w:rPr>
          <w:rFonts w:ascii="Garamond" w:hAnsi="Garamond"/>
          <w:sz w:val="22"/>
          <w:szCs w:val="22"/>
        </w:rPr>
        <w:t xml:space="preserve"> a recommendation to the budget director and senior staff.  The Governor will make the final decision to approve or deny the </w:t>
      </w:r>
      <w:r>
        <w:rPr>
          <w:rFonts w:ascii="Garamond" w:hAnsi="Garamond"/>
          <w:sz w:val="22"/>
          <w:szCs w:val="22"/>
        </w:rPr>
        <w:t xml:space="preserve">waiver </w:t>
      </w:r>
      <w:r w:rsidR="00B0078D" w:rsidRPr="00B0078D">
        <w:rPr>
          <w:rFonts w:ascii="Garamond" w:hAnsi="Garamond"/>
          <w:sz w:val="22"/>
          <w:szCs w:val="22"/>
        </w:rPr>
        <w:t>request.</w:t>
      </w:r>
    </w:p>
    <w:p w:rsidR="00B0078D" w:rsidRPr="00B0078D" w:rsidRDefault="00B0078D" w:rsidP="00B0078D">
      <w:pPr>
        <w:rPr>
          <w:rFonts w:ascii="Garamond" w:hAnsi="Garamond"/>
          <w:sz w:val="22"/>
          <w:szCs w:val="22"/>
        </w:rPr>
      </w:pPr>
    </w:p>
    <w:p w:rsidR="00B0078D" w:rsidRPr="00B0078D" w:rsidRDefault="00B0078D" w:rsidP="00B0078D">
      <w:pPr>
        <w:rPr>
          <w:rFonts w:ascii="Garamond" w:hAnsi="Garamond"/>
          <w:sz w:val="22"/>
          <w:szCs w:val="22"/>
        </w:rPr>
      </w:pPr>
      <w:r w:rsidRPr="00B0078D">
        <w:rPr>
          <w:rFonts w:ascii="Garamond" w:hAnsi="Garamond"/>
          <w:sz w:val="22"/>
          <w:szCs w:val="22"/>
        </w:rPr>
        <w:t>Approval shall be based on evaluation and analysis of the following:</w:t>
      </w:r>
    </w:p>
    <w:p w:rsidR="00B0078D" w:rsidRPr="00B0078D" w:rsidRDefault="00B0078D" w:rsidP="00B0078D">
      <w:pPr>
        <w:tabs>
          <w:tab w:val="left" w:pos="-1440"/>
        </w:tabs>
        <w:ind w:left="1440" w:hanging="720"/>
        <w:rPr>
          <w:rFonts w:ascii="Garamond" w:hAnsi="Garamond"/>
          <w:sz w:val="22"/>
          <w:szCs w:val="22"/>
        </w:rPr>
      </w:pPr>
    </w:p>
    <w:p w:rsidR="00B0078D" w:rsidRPr="00B0078D" w:rsidRDefault="00B0078D" w:rsidP="00B0078D">
      <w:pPr>
        <w:tabs>
          <w:tab w:val="left" w:pos="-1440"/>
        </w:tabs>
        <w:ind w:left="1440" w:hanging="720"/>
        <w:rPr>
          <w:rFonts w:ascii="Garamond" w:hAnsi="Garamond"/>
          <w:sz w:val="22"/>
          <w:szCs w:val="22"/>
        </w:rPr>
      </w:pPr>
      <w:r w:rsidRPr="00B0078D">
        <w:rPr>
          <w:rFonts w:ascii="Garamond" w:hAnsi="Garamond"/>
          <w:sz w:val="22"/>
          <w:szCs w:val="22"/>
        </w:rPr>
        <w:t>a.</w:t>
      </w:r>
      <w:r w:rsidRPr="00B0078D">
        <w:rPr>
          <w:rFonts w:ascii="Garamond" w:hAnsi="Garamond"/>
          <w:sz w:val="22"/>
          <w:szCs w:val="22"/>
        </w:rPr>
        <w:tab/>
        <w:t>Demographics:  population size, poverty rate, unemployment rate;</w:t>
      </w:r>
    </w:p>
    <w:p w:rsidR="00B0078D" w:rsidRPr="00B0078D" w:rsidRDefault="00B0078D" w:rsidP="00B0078D">
      <w:pPr>
        <w:numPr>
          <w:ilvl w:val="0"/>
          <w:numId w:val="1"/>
        </w:numPr>
        <w:tabs>
          <w:tab w:val="clear" w:pos="1080"/>
          <w:tab w:val="left" w:pos="-1440"/>
          <w:tab w:val="num" w:pos="1440"/>
        </w:tabs>
        <w:autoSpaceDE/>
        <w:autoSpaceDN/>
        <w:adjustRightInd/>
        <w:ind w:left="1440" w:hanging="720"/>
        <w:rPr>
          <w:rFonts w:ascii="Garamond" w:hAnsi="Garamond"/>
          <w:sz w:val="22"/>
          <w:szCs w:val="22"/>
        </w:rPr>
      </w:pPr>
      <w:r>
        <w:rPr>
          <w:rFonts w:ascii="Garamond" w:hAnsi="Garamond"/>
          <w:sz w:val="22"/>
          <w:szCs w:val="22"/>
        </w:rPr>
        <w:t>Storm Impacts</w:t>
      </w:r>
      <w:r w:rsidRPr="00B0078D">
        <w:rPr>
          <w:rFonts w:ascii="Garamond" w:hAnsi="Garamond"/>
          <w:sz w:val="22"/>
          <w:szCs w:val="22"/>
        </w:rPr>
        <w:t xml:space="preserve">:  </w:t>
      </w:r>
      <w:r>
        <w:rPr>
          <w:rFonts w:ascii="Garamond" w:hAnsi="Garamond"/>
          <w:sz w:val="22"/>
          <w:szCs w:val="22"/>
        </w:rPr>
        <w:t xml:space="preserve">number of storms, severity of impact, non-FEMA </w:t>
      </w:r>
      <w:proofErr w:type="spellStart"/>
      <w:r>
        <w:rPr>
          <w:rFonts w:ascii="Garamond" w:hAnsi="Garamond"/>
          <w:sz w:val="22"/>
          <w:szCs w:val="22"/>
        </w:rPr>
        <w:t>reimburseable</w:t>
      </w:r>
      <w:proofErr w:type="spellEnd"/>
      <w:r>
        <w:rPr>
          <w:rFonts w:ascii="Garamond" w:hAnsi="Garamond"/>
          <w:sz w:val="22"/>
          <w:szCs w:val="22"/>
        </w:rPr>
        <w:t xml:space="preserve"> expenditures; additional hurricane recovery/mitigation funding granted</w:t>
      </w:r>
      <w:r w:rsidRPr="00B0078D">
        <w:rPr>
          <w:rFonts w:ascii="Garamond" w:hAnsi="Garamond"/>
          <w:sz w:val="22"/>
          <w:szCs w:val="22"/>
        </w:rPr>
        <w:t>, frequency of prior disasters, other assistance available;</w:t>
      </w:r>
    </w:p>
    <w:p w:rsidR="00900CFC" w:rsidRDefault="00B0078D" w:rsidP="00B0078D">
      <w:pPr>
        <w:numPr>
          <w:ilvl w:val="0"/>
          <w:numId w:val="1"/>
        </w:numPr>
        <w:tabs>
          <w:tab w:val="clear" w:pos="1080"/>
          <w:tab w:val="left" w:pos="-1440"/>
          <w:tab w:val="num" w:pos="1440"/>
        </w:tabs>
        <w:autoSpaceDE/>
        <w:autoSpaceDN/>
        <w:adjustRightInd/>
        <w:ind w:left="1440" w:hanging="720"/>
        <w:rPr>
          <w:rFonts w:ascii="Garamond" w:hAnsi="Garamond"/>
          <w:sz w:val="22"/>
          <w:szCs w:val="22"/>
        </w:rPr>
      </w:pPr>
      <w:r w:rsidRPr="00B0078D">
        <w:rPr>
          <w:rFonts w:ascii="Garamond" w:hAnsi="Garamond"/>
          <w:sz w:val="22"/>
          <w:szCs w:val="22"/>
        </w:rPr>
        <w:t>Tax/Revenue Capacity:  millage</w:t>
      </w:r>
      <w:r w:rsidR="00900CFC">
        <w:rPr>
          <w:rFonts w:ascii="Garamond" w:hAnsi="Garamond"/>
          <w:sz w:val="22"/>
          <w:szCs w:val="22"/>
        </w:rPr>
        <w:t xml:space="preserve"> rate</w:t>
      </w:r>
      <w:r w:rsidRPr="00B0078D">
        <w:rPr>
          <w:rFonts w:ascii="Garamond" w:hAnsi="Garamond"/>
          <w:sz w:val="22"/>
          <w:szCs w:val="22"/>
        </w:rPr>
        <w:t>, is the entity at maximum millage</w:t>
      </w:r>
      <w:r w:rsidR="00900CFC">
        <w:rPr>
          <w:rFonts w:ascii="Garamond" w:hAnsi="Garamond"/>
          <w:sz w:val="22"/>
          <w:szCs w:val="22"/>
        </w:rPr>
        <w:t>,</w:t>
      </w:r>
      <w:r w:rsidRPr="00B0078D">
        <w:rPr>
          <w:rFonts w:ascii="Garamond" w:hAnsi="Garamond"/>
          <w:sz w:val="22"/>
          <w:szCs w:val="22"/>
        </w:rPr>
        <w:t xml:space="preserve"> are all utility taxes levied</w:t>
      </w:r>
      <w:r w:rsidR="00900CFC">
        <w:rPr>
          <w:rFonts w:ascii="Garamond" w:hAnsi="Garamond"/>
          <w:sz w:val="22"/>
          <w:szCs w:val="22"/>
        </w:rPr>
        <w:t>,</w:t>
      </w:r>
      <w:r w:rsidRPr="00B0078D">
        <w:rPr>
          <w:rFonts w:ascii="Garamond" w:hAnsi="Garamond"/>
          <w:sz w:val="22"/>
          <w:szCs w:val="22"/>
        </w:rPr>
        <w:t xml:space="preserve"> can millage be increased to cover costs</w:t>
      </w:r>
      <w:r w:rsidR="00900CFC">
        <w:rPr>
          <w:rFonts w:ascii="Garamond" w:hAnsi="Garamond"/>
          <w:sz w:val="22"/>
          <w:szCs w:val="22"/>
        </w:rPr>
        <w:t>,</w:t>
      </w:r>
      <w:r>
        <w:rPr>
          <w:rFonts w:ascii="Garamond" w:hAnsi="Garamond"/>
          <w:sz w:val="22"/>
          <w:szCs w:val="22"/>
        </w:rPr>
        <w:t xml:space="preserve"> per capita taxable value</w:t>
      </w:r>
      <w:r w:rsidR="00900CFC">
        <w:rPr>
          <w:rFonts w:ascii="Garamond" w:hAnsi="Garamond"/>
          <w:sz w:val="22"/>
          <w:szCs w:val="22"/>
        </w:rPr>
        <w:t>, fiscally constrained county,</w:t>
      </w:r>
    </w:p>
    <w:p w:rsidR="00B0078D" w:rsidRPr="00B0078D" w:rsidRDefault="00900CFC" w:rsidP="00B0078D">
      <w:pPr>
        <w:numPr>
          <w:ilvl w:val="0"/>
          <w:numId w:val="1"/>
        </w:numPr>
        <w:tabs>
          <w:tab w:val="clear" w:pos="1080"/>
          <w:tab w:val="left" w:pos="-1440"/>
          <w:tab w:val="num" w:pos="1440"/>
        </w:tabs>
        <w:autoSpaceDE/>
        <w:autoSpaceDN/>
        <w:adjustRightInd/>
        <w:ind w:left="1440" w:hanging="720"/>
        <w:rPr>
          <w:rFonts w:ascii="Garamond" w:hAnsi="Garamond"/>
          <w:sz w:val="22"/>
          <w:szCs w:val="22"/>
        </w:rPr>
      </w:pPr>
      <w:r>
        <w:rPr>
          <w:rFonts w:ascii="Garamond" w:hAnsi="Garamond"/>
          <w:sz w:val="22"/>
          <w:szCs w:val="22"/>
        </w:rPr>
        <w:t xml:space="preserve">Special Designations:  financial distress, Rural Area of Critical Economic Concern;  </w:t>
      </w:r>
    </w:p>
    <w:p w:rsidR="00B0078D" w:rsidRPr="00B0078D" w:rsidRDefault="00B0078D" w:rsidP="00B0078D">
      <w:pPr>
        <w:numPr>
          <w:ilvl w:val="0"/>
          <w:numId w:val="1"/>
        </w:numPr>
        <w:tabs>
          <w:tab w:val="clear" w:pos="1080"/>
          <w:tab w:val="left" w:pos="-1440"/>
          <w:tab w:val="num" w:pos="1440"/>
        </w:tabs>
        <w:autoSpaceDE/>
        <w:autoSpaceDN/>
        <w:adjustRightInd/>
        <w:ind w:left="1440" w:hanging="720"/>
        <w:rPr>
          <w:rFonts w:ascii="Garamond" w:hAnsi="Garamond"/>
          <w:sz w:val="22"/>
          <w:szCs w:val="22"/>
        </w:rPr>
      </w:pPr>
      <w:r w:rsidRPr="00B0078D">
        <w:rPr>
          <w:rFonts w:ascii="Garamond" w:hAnsi="Garamond"/>
          <w:sz w:val="22"/>
          <w:szCs w:val="22"/>
        </w:rPr>
        <w:t xml:space="preserve">Financial </w:t>
      </w:r>
      <w:r w:rsidR="00900CFC">
        <w:rPr>
          <w:rFonts w:ascii="Garamond" w:hAnsi="Garamond"/>
          <w:sz w:val="22"/>
          <w:szCs w:val="22"/>
        </w:rPr>
        <w:t>Information</w:t>
      </w:r>
      <w:r w:rsidRPr="00B0078D">
        <w:rPr>
          <w:rFonts w:ascii="Garamond" w:hAnsi="Garamond"/>
          <w:sz w:val="22"/>
          <w:szCs w:val="22"/>
        </w:rPr>
        <w:t xml:space="preserve">:  general fund reserves, revenues and expenditures </w:t>
      </w:r>
      <w:r w:rsidR="00900CFC">
        <w:rPr>
          <w:rFonts w:ascii="Garamond" w:hAnsi="Garamond"/>
          <w:sz w:val="22"/>
          <w:szCs w:val="22"/>
        </w:rPr>
        <w:t>of the entity</w:t>
      </w:r>
      <w:r w:rsidRPr="00B0078D">
        <w:rPr>
          <w:rFonts w:ascii="Garamond" w:hAnsi="Garamond"/>
          <w:sz w:val="22"/>
          <w:szCs w:val="22"/>
        </w:rPr>
        <w:t>, number of months of reserve in general fund</w:t>
      </w:r>
      <w:r w:rsidR="00900CFC">
        <w:rPr>
          <w:rFonts w:ascii="Garamond" w:hAnsi="Garamond"/>
          <w:sz w:val="22"/>
          <w:szCs w:val="22"/>
        </w:rPr>
        <w:t>, the local match requirement as a percentage of the general fund balance; and</w:t>
      </w:r>
    </w:p>
    <w:p w:rsidR="00B0078D" w:rsidRPr="00B0078D" w:rsidRDefault="00B0078D" w:rsidP="00900CFC">
      <w:pPr>
        <w:numPr>
          <w:ilvl w:val="0"/>
          <w:numId w:val="1"/>
        </w:numPr>
        <w:tabs>
          <w:tab w:val="clear" w:pos="1080"/>
          <w:tab w:val="left" w:pos="-1440"/>
          <w:tab w:val="num" w:pos="1440"/>
        </w:tabs>
        <w:autoSpaceDE/>
        <w:autoSpaceDN/>
        <w:adjustRightInd/>
        <w:ind w:left="1440" w:hanging="720"/>
        <w:rPr>
          <w:rFonts w:ascii="Garamond" w:hAnsi="Garamond"/>
          <w:sz w:val="22"/>
          <w:szCs w:val="22"/>
        </w:rPr>
      </w:pPr>
      <w:r w:rsidRPr="00B0078D">
        <w:rPr>
          <w:rFonts w:ascii="Garamond" w:hAnsi="Garamond"/>
          <w:sz w:val="22"/>
          <w:szCs w:val="22"/>
        </w:rPr>
        <w:t>Other Considerations:  unique to the local government</w:t>
      </w:r>
      <w:r w:rsidR="00900CFC">
        <w:rPr>
          <w:rFonts w:ascii="Garamond" w:hAnsi="Garamond"/>
          <w:sz w:val="22"/>
          <w:szCs w:val="22"/>
        </w:rPr>
        <w:t>.</w:t>
      </w:r>
    </w:p>
    <w:p w:rsidR="00B0078D" w:rsidRPr="00B0078D" w:rsidRDefault="00B0078D" w:rsidP="00B0078D">
      <w:pPr>
        <w:ind w:left="720"/>
        <w:rPr>
          <w:rFonts w:ascii="Garamond" w:hAnsi="Garamond"/>
          <w:sz w:val="22"/>
          <w:szCs w:val="22"/>
        </w:rPr>
      </w:pPr>
    </w:p>
    <w:p w:rsidR="00B0078D" w:rsidRPr="00B0078D" w:rsidRDefault="00B0078D" w:rsidP="00B0078D">
      <w:pPr>
        <w:rPr>
          <w:rFonts w:ascii="Garamond" w:hAnsi="Garamond"/>
          <w:sz w:val="22"/>
          <w:szCs w:val="22"/>
        </w:rPr>
      </w:pPr>
      <w:r w:rsidRPr="00B0078D">
        <w:rPr>
          <w:rFonts w:ascii="Garamond" w:hAnsi="Garamond"/>
          <w:b/>
          <w:sz w:val="22"/>
          <w:szCs w:val="22"/>
        </w:rPr>
        <w:t>Consultation</w:t>
      </w:r>
    </w:p>
    <w:p w:rsidR="00B0078D" w:rsidRPr="00B0078D" w:rsidRDefault="00B0078D" w:rsidP="00B0078D">
      <w:pPr>
        <w:rPr>
          <w:rFonts w:ascii="Garamond" w:hAnsi="Garamond"/>
          <w:sz w:val="22"/>
          <w:szCs w:val="22"/>
        </w:rPr>
      </w:pPr>
      <w:r w:rsidRPr="00B0078D">
        <w:rPr>
          <w:rFonts w:ascii="Garamond" w:hAnsi="Garamond"/>
          <w:sz w:val="22"/>
          <w:szCs w:val="22"/>
        </w:rPr>
        <w:t>Applications approved by the Governor will be forwarded together with appropriate supportive documentation to the legislative appropriations committees for consultation</w:t>
      </w:r>
      <w:r w:rsidR="00302890">
        <w:rPr>
          <w:rFonts w:ascii="Garamond" w:hAnsi="Garamond"/>
          <w:sz w:val="22"/>
          <w:szCs w:val="22"/>
        </w:rPr>
        <w:t xml:space="preserve"> as provided in s. 216.177(2), Florida Statutes</w:t>
      </w:r>
      <w:r w:rsidRPr="00B0078D">
        <w:rPr>
          <w:rFonts w:ascii="Garamond" w:hAnsi="Garamond"/>
          <w:sz w:val="22"/>
          <w:szCs w:val="22"/>
        </w:rPr>
        <w:t>.  However, the declaration of an emergency by the Governor under his emergency powers granted in Chapter 252, Florida Statutes, may supersede the required consultation when authorized and deemed necessary by the Governor.</w:t>
      </w:r>
    </w:p>
    <w:p w:rsidR="00B0078D" w:rsidRPr="00B0078D" w:rsidRDefault="00B0078D" w:rsidP="00B0078D">
      <w:pPr>
        <w:rPr>
          <w:rFonts w:ascii="Garamond" w:hAnsi="Garamond"/>
          <w:sz w:val="22"/>
          <w:szCs w:val="22"/>
        </w:rPr>
      </w:pPr>
    </w:p>
    <w:p w:rsidR="00B0078D" w:rsidRPr="00B0078D" w:rsidRDefault="00B0078D" w:rsidP="00B0078D">
      <w:pPr>
        <w:rPr>
          <w:rFonts w:ascii="Garamond" w:hAnsi="Garamond"/>
          <w:sz w:val="22"/>
          <w:szCs w:val="22"/>
        </w:rPr>
      </w:pPr>
      <w:r w:rsidRPr="00B0078D">
        <w:rPr>
          <w:rFonts w:ascii="Garamond" w:hAnsi="Garamond"/>
          <w:b/>
          <w:sz w:val="22"/>
          <w:szCs w:val="22"/>
        </w:rPr>
        <w:t>Transmittal letter of notification to applicant</w:t>
      </w:r>
    </w:p>
    <w:p w:rsidR="00B0078D" w:rsidRPr="00B0078D" w:rsidRDefault="00B0078D" w:rsidP="00B0078D">
      <w:pPr>
        <w:rPr>
          <w:rFonts w:ascii="Garamond" w:hAnsi="Garamond"/>
          <w:sz w:val="22"/>
          <w:szCs w:val="22"/>
        </w:rPr>
      </w:pPr>
      <w:r w:rsidRPr="00B0078D">
        <w:rPr>
          <w:rFonts w:ascii="Garamond" w:hAnsi="Garamond"/>
          <w:sz w:val="22"/>
          <w:szCs w:val="22"/>
        </w:rPr>
        <w:t xml:space="preserve">The Office of Policy and Budget will transmit a letter </w:t>
      </w:r>
      <w:r w:rsidR="00362400">
        <w:rPr>
          <w:rFonts w:ascii="Garamond" w:hAnsi="Garamond"/>
          <w:sz w:val="22"/>
          <w:szCs w:val="22"/>
        </w:rPr>
        <w:t xml:space="preserve">to the local government </w:t>
      </w:r>
      <w:r w:rsidRPr="00B0078D">
        <w:rPr>
          <w:rFonts w:ascii="Garamond" w:hAnsi="Garamond"/>
          <w:sz w:val="22"/>
          <w:szCs w:val="22"/>
        </w:rPr>
        <w:t xml:space="preserve">regarding </w:t>
      </w:r>
      <w:r w:rsidR="00362400">
        <w:rPr>
          <w:rFonts w:ascii="Garamond" w:hAnsi="Garamond"/>
          <w:sz w:val="22"/>
          <w:szCs w:val="22"/>
        </w:rPr>
        <w:t>the Governor’s</w:t>
      </w:r>
      <w:r w:rsidRPr="00B0078D">
        <w:rPr>
          <w:rFonts w:ascii="Garamond" w:hAnsi="Garamond"/>
          <w:sz w:val="22"/>
          <w:szCs w:val="22"/>
        </w:rPr>
        <w:t xml:space="preserve"> final decision.  If a deferral is granted, a repayment schedule with all terms and conditions shall accompany this notification.  </w:t>
      </w:r>
      <w:r w:rsidRPr="00B76157">
        <w:rPr>
          <w:rFonts w:ascii="Garamond" w:hAnsi="Garamond"/>
          <w:sz w:val="22"/>
          <w:szCs w:val="22"/>
        </w:rPr>
        <w:t xml:space="preserve">The </w:t>
      </w:r>
      <w:r w:rsidR="002F534B" w:rsidRPr="00B76157">
        <w:rPr>
          <w:rFonts w:ascii="Garamond" w:hAnsi="Garamond"/>
          <w:sz w:val="22"/>
          <w:szCs w:val="22"/>
        </w:rPr>
        <w:t>Executive Office of the Governor</w:t>
      </w:r>
      <w:r w:rsidR="00A81C99" w:rsidRPr="00B76157">
        <w:rPr>
          <w:rFonts w:ascii="Garamond" w:hAnsi="Garamond"/>
          <w:sz w:val="22"/>
          <w:szCs w:val="22"/>
        </w:rPr>
        <w:t>/Division of Emergency Management</w:t>
      </w:r>
      <w:r w:rsidRPr="00B76157">
        <w:rPr>
          <w:rFonts w:ascii="Garamond" w:hAnsi="Garamond"/>
          <w:sz w:val="22"/>
          <w:szCs w:val="22"/>
        </w:rPr>
        <w:t xml:space="preserve"> shall receive a copy of the letter.</w:t>
      </w:r>
      <w:r w:rsidRPr="00B0078D">
        <w:rPr>
          <w:rFonts w:ascii="Garamond" w:hAnsi="Garamond"/>
          <w:sz w:val="22"/>
          <w:szCs w:val="22"/>
        </w:rPr>
        <w:t xml:space="preserve"> </w:t>
      </w:r>
    </w:p>
    <w:p w:rsidR="002C59FE" w:rsidRPr="00B0078D" w:rsidRDefault="002C59FE" w:rsidP="002C59FE">
      <w:pPr>
        <w:pStyle w:val="BodyTextIndent"/>
        <w:ind w:left="0"/>
        <w:rPr>
          <w:sz w:val="22"/>
        </w:rPr>
      </w:pPr>
    </w:p>
    <w:sectPr w:rsidR="002C59FE" w:rsidRPr="00B0078D" w:rsidSect="00C343CC">
      <w:headerReference w:type="default" r:id="rId7"/>
      <w:footerReference w:type="default" r:id="rId8"/>
      <w:headerReference w:type="first" r:id="rId9"/>
      <w:endnotePr>
        <w:numFmt w:val="decimal"/>
      </w:endnotePr>
      <w:type w:val="continuous"/>
      <w:pgSz w:w="12240" w:h="15840"/>
      <w:pgMar w:top="1440" w:right="1440" w:bottom="1440" w:left="1440" w:header="1008" w:footer="288"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7B7" w:rsidRDefault="004B57B7" w:rsidP="00B14156">
      <w:r>
        <w:separator/>
      </w:r>
    </w:p>
  </w:endnote>
  <w:endnote w:type="continuationSeparator" w:id="0">
    <w:p w:rsidR="004B57B7" w:rsidRDefault="004B57B7" w:rsidP="00B1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6F1" w:rsidRDefault="00B466F1" w:rsidP="00E07118">
    <w:pPr>
      <w:pStyle w:val="Footer"/>
      <w:jc w:val="right"/>
    </w:pPr>
    <w:r>
      <w:t xml:space="preserve">Revised </w:t>
    </w:r>
    <w:r w:rsidR="007657B8">
      <w:t>February 2017</w:t>
    </w:r>
  </w:p>
  <w:p w:rsidR="00B466F1" w:rsidRDefault="00B46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7B7" w:rsidRDefault="004B57B7" w:rsidP="00B14156">
      <w:r>
        <w:separator/>
      </w:r>
    </w:p>
  </w:footnote>
  <w:footnote w:type="continuationSeparator" w:id="0">
    <w:p w:rsidR="004B57B7" w:rsidRDefault="004B57B7" w:rsidP="00B14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6F1" w:rsidRDefault="00B466F1">
    <w:pPr>
      <w:spacing w:line="287" w:lineRule="auto"/>
      <w:jc w:val="center"/>
      <w:rPr>
        <w:rFonts w:ascii="Garamond" w:hAnsi="Garamond"/>
        <w:b/>
        <w:bCs/>
        <w:sz w:val="24"/>
      </w:rPr>
    </w:pPr>
    <w:r>
      <w:rPr>
        <w:rFonts w:ascii="Garamond" w:hAnsi="Garamond"/>
        <w:b/>
        <w:bCs/>
        <w:smallCaps/>
        <w:sz w:val="24"/>
      </w:rPr>
      <w:t>Budget Overview and General</w:t>
    </w:r>
  </w:p>
  <w:p w:rsidR="00B466F1" w:rsidRDefault="00B466F1">
    <w:pPr>
      <w:spacing w:line="287" w:lineRule="auto"/>
      <w:jc w:val="center"/>
      <w:rPr>
        <w:rFonts w:ascii="Garamond" w:hAnsi="Garamond"/>
        <w:b/>
        <w:bCs/>
        <w:i/>
        <w:iCs/>
        <w:sz w:val="36"/>
        <w:szCs w:val="26"/>
      </w:rPr>
    </w:pPr>
    <w:r>
      <w:rPr>
        <w:rFonts w:ascii="Garamond" w:hAnsi="Garamond"/>
        <w:b/>
        <w:bCs/>
        <w:sz w:val="36"/>
        <w:szCs w:val="36"/>
      </w:rPr>
      <w:t>Request for Waiver of Local Match Following a Disaster</w:t>
    </w:r>
  </w:p>
  <w:p w:rsidR="00B466F1" w:rsidRDefault="00901D95">
    <w:pPr>
      <w:spacing w:line="109" w:lineRule="exact"/>
      <w:rPr>
        <w:rFonts w:ascii="Garamond" w:hAnsi="Garamond"/>
        <w:i/>
        <w:iCs/>
        <w:sz w:val="36"/>
      </w:rPr>
    </w:pPr>
    <w:r>
      <w:rPr>
        <w:noProof/>
        <w:sz w:val="36"/>
      </w:rPr>
      <mc:AlternateContent>
        <mc:Choice Requires="wps">
          <w:drawing>
            <wp:anchor distT="0" distB="0" distL="114300" distR="114300" simplePos="0" relativeHeight="251657728" behindDoc="1" locked="1" layoutInCell="0" allowOverlap="1" wp14:anchorId="3163C45D" wp14:editId="5B71021E">
              <wp:simplePos x="0" y="0"/>
              <wp:positionH relativeFrom="page">
                <wp:posOffset>914400</wp:posOffset>
              </wp:positionH>
              <wp:positionV relativeFrom="paragraph">
                <wp:posOffset>0</wp:posOffset>
              </wp:positionV>
              <wp:extent cx="5943600" cy="6921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921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6D611" id="Rectangle 1" o:spid="_x0000_s1026" style="position:absolute;margin-left:1in;margin-top:0;width:468pt;height: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" o:allowincell="f" fillcolor="black" stroked="f" strokeweight="0">
              <w10:wrap anchorx="page"/>
              <w10:anchorlock/>
            </v:rect>
          </w:pict>
        </mc:Fallback>
      </mc:AlternateContent>
    </w:r>
  </w:p>
  <w:p w:rsidR="00B466F1" w:rsidRDefault="00B466F1">
    <w:pPr>
      <w:rPr>
        <w:rFonts w:ascii="Garamond" w:hAnsi="Garamond"/>
        <w:sz w:val="24"/>
      </w:rPr>
    </w:pPr>
  </w:p>
  <w:p w:rsidR="00B466F1" w:rsidRDefault="00B466F1">
    <w:pPr>
      <w:spacing w:line="240" w:lineRule="exact"/>
      <w:rPr>
        <w:rFonts w:ascii="Garamond" w:hAnsi="Garamond"/>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6F1" w:rsidRDefault="00B466F1" w:rsidP="00C343CC">
    <w:pPr>
      <w:spacing w:line="287" w:lineRule="auto"/>
      <w:jc w:val="center"/>
      <w:rPr>
        <w:rFonts w:ascii="Garamond" w:hAnsi="Garamond"/>
        <w:b/>
        <w:bCs/>
        <w:sz w:val="24"/>
      </w:rPr>
    </w:pPr>
    <w:r>
      <w:rPr>
        <w:rFonts w:ascii="Garamond" w:hAnsi="Garamond"/>
        <w:b/>
        <w:bCs/>
        <w:smallCaps/>
        <w:sz w:val="24"/>
      </w:rPr>
      <w:t>Budget Overview and General</w:t>
    </w:r>
  </w:p>
  <w:p w:rsidR="00B466F1" w:rsidRDefault="00901D95" w:rsidP="00C343CC">
    <w:pPr>
      <w:spacing w:line="287" w:lineRule="auto"/>
      <w:jc w:val="center"/>
      <w:rPr>
        <w:rFonts w:ascii="Garamond" w:hAnsi="Garamond"/>
        <w:b/>
        <w:bCs/>
        <w:i/>
        <w:iCs/>
        <w:sz w:val="36"/>
        <w:szCs w:val="26"/>
      </w:rPr>
    </w:pPr>
    <w:r>
      <w:rPr>
        <w:rFonts w:ascii="Garamond" w:hAnsi="Garamond"/>
        <w:b/>
        <w:bCs/>
        <w:noProof/>
        <w:sz w:val="36"/>
        <w:szCs w:val="36"/>
      </w:rPr>
      <mc:AlternateContent>
        <mc:Choice Requires="wps">
          <w:drawing>
            <wp:anchor distT="0" distB="0" distL="114300" distR="114300" simplePos="0" relativeHeight="251658752" behindDoc="1" locked="1" layoutInCell="0" allowOverlap="1" wp14:anchorId="196B2D0A" wp14:editId="3FABA0F0">
              <wp:simplePos x="0" y="0"/>
              <wp:positionH relativeFrom="page">
                <wp:posOffset>1066800</wp:posOffset>
              </wp:positionH>
              <wp:positionV relativeFrom="paragraph">
                <wp:posOffset>314960</wp:posOffset>
              </wp:positionV>
              <wp:extent cx="5943600" cy="69215"/>
              <wp:effectExtent l="0" t="63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921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2DB74" id="Rectangle 2" o:spid="_x0000_s1026" style="position:absolute;margin-left:84pt;margin-top:24.8pt;width:468pt;height:5.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" o:allowincell="f" fillcolor="black" stroked="f" strokeweight="0">
              <w10:wrap anchorx="page"/>
              <w10:anchorlock/>
            </v:rect>
          </w:pict>
        </mc:Fallback>
      </mc:AlternateContent>
    </w:r>
    <w:r w:rsidR="00B466F1">
      <w:rPr>
        <w:rFonts w:ascii="Garamond" w:hAnsi="Garamond"/>
        <w:b/>
        <w:bCs/>
        <w:sz w:val="36"/>
        <w:szCs w:val="36"/>
      </w:rPr>
      <w:t>Request for Waiver of Local Match Following a Disaster</w:t>
    </w:r>
  </w:p>
  <w:p w:rsidR="00B466F1" w:rsidRDefault="00B466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A407BB"/>
    <w:multiLevelType w:val="hybridMultilevel"/>
    <w:tmpl w:val="A56CA804"/>
    <w:lvl w:ilvl="0" w:tplc="58AC2AC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BE4"/>
    <w:rsid w:val="0005146A"/>
    <w:rsid w:val="000A1631"/>
    <w:rsid w:val="000A4955"/>
    <w:rsid w:val="000B53AF"/>
    <w:rsid w:val="000B6C3B"/>
    <w:rsid w:val="00197E6B"/>
    <w:rsid w:val="001B25ED"/>
    <w:rsid w:val="001C56CD"/>
    <w:rsid w:val="0020412B"/>
    <w:rsid w:val="00292A83"/>
    <w:rsid w:val="002C1643"/>
    <w:rsid w:val="002C59FE"/>
    <w:rsid w:val="002F534B"/>
    <w:rsid w:val="002F6A09"/>
    <w:rsid w:val="00302890"/>
    <w:rsid w:val="00362400"/>
    <w:rsid w:val="0037443F"/>
    <w:rsid w:val="003E76B1"/>
    <w:rsid w:val="00425C29"/>
    <w:rsid w:val="00483FE0"/>
    <w:rsid w:val="004B57B7"/>
    <w:rsid w:val="004B6A5C"/>
    <w:rsid w:val="004C14DB"/>
    <w:rsid w:val="004D1931"/>
    <w:rsid w:val="00520E7D"/>
    <w:rsid w:val="00586E5D"/>
    <w:rsid w:val="005A3605"/>
    <w:rsid w:val="005F582F"/>
    <w:rsid w:val="0061576B"/>
    <w:rsid w:val="007657B8"/>
    <w:rsid w:val="00890514"/>
    <w:rsid w:val="008A490E"/>
    <w:rsid w:val="008D7D24"/>
    <w:rsid w:val="008F6747"/>
    <w:rsid w:val="00900CFC"/>
    <w:rsid w:val="00901D95"/>
    <w:rsid w:val="009D25B0"/>
    <w:rsid w:val="00A02166"/>
    <w:rsid w:val="00A81C99"/>
    <w:rsid w:val="00AC7D61"/>
    <w:rsid w:val="00B0078D"/>
    <w:rsid w:val="00B06977"/>
    <w:rsid w:val="00B115CE"/>
    <w:rsid w:val="00B14156"/>
    <w:rsid w:val="00B20393"/>
    <w:rsid w:val="00B26BD4"/>
    <w:rsid w:val="00B273D0"/>
    <w:rsid w:val="00B308A9"/>
    <w:rsid w:val="00B466F1"/>
    <w:rsid w:val="00B51AF9"/>
    <w:rsid w:val="00B605C1"/>
    <w:rsid w:val="00B76157"/>
    <w:rsid w:val="00BC5EF1"/>
    <w:rsid w:val="00BF76CF"/>
    <w:rsid w:val="00C13553"/>
    <w:rsid w:val="00C343CC"/>
    <w:rsid w:val="00C57AE6"/>
    <w:rsid w:val="00C64A24"/>
    <w:rsid w:val="00C91A20"/>
    <w:rsid w:val="00D04159"/>
    <w:rsid w:val="00D145CC"/>
    <w:rsid w:val="00D17713"/>
    <w:rsid w:val="00D43820"/>
    <w:rsid w:val="00E0224A"/>
    <w:rsid w:val="00E07118"/>
    <w:rsid w:val="00E46094"/>
    <w:rsid w:val="00E46665"/>
    <w:rsid w:val="00EA7FD5"/>
    <w:rsid w:val="00EB2747"/>
    <w:rsid w:val="00EF3C4C"/>
    <w:rsid w:val="00F12D76"/>
    <w:rsid w:val="00F14BE4"/>
    <w:rsid w:val="00F420E3"/>
    <w:rsid w:val="00F43455"/>
    <w:rsid w:val="00FA1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13876"/>
  <w15:docId w15:val="{46EE53B3-353A-44B6-94ED-968912888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0E3"/>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420E3"/>
  </w:style>
  <w:style w:type="paragraph" w:styleId="Header">
    <w:name w:val="header"/>
    <w:basedOn w:val="Normal"/>
    <w:rsid w:val="00F420E3"/>
    <w:pPr>
      <w:tabs>
        <w:tab w:val="center" w:pos="4320"/>
        <w:tab w:val="right" w:pos="8640"/>
      </w:tabs>
    </w:pPr>
  </w:style>
  <w:style w:type="paragraph" w:styleId="Footer">
    <w:name w:val="footer"/>
    <w:basedOn w:val="Normal"/>
    <w:link w:val="FooterChar"/>
    <w:uiPriority w:val="99"/>
    <w:rsid w:val="00F420E3"/>
    <w:pPr>
      <w:tabs>
        <w:tab w:val="center" w:pos="4320"/>
        <w:tab w:val="right" w:pos="8640"/>
      </w:tabs>
    </w:pPr>
  </w:style>
  <w:style w:type="paragraph" w:styleId="BodyTextIndent">
    <w:name w:val="Body Text Indent"/>
    <w:basedOn w:val="Normal"/>
    <w:rsid w:val="00F420E3"/>
    <w:pPr>
      <w:tabs>
        <w:tab w:val="left" w:pos="-1440"/>
      </w:tabs>
      <w:ind w:left="2160" w:hanging="720"/>
    </w:pPr>
    <w:rPr>
      <w:rFonts w:ascii="Garamond" w:hAnsi="Garamond"/>
      <w:szCs w:val="22"/>
    </w:rPr>
  </w:style>
  <w:style w:type="paragraph" w:styleId="BalloonText">
    <w:name w:val="Balloon Text"/>
    <w:basedOn w:val="Normal"/>
    <w:semiHidden/>
    <w:rsid w:val="0037443F"/>
    <w:rPr>
      <w:rFonts w:ascii="Tahoma" w:hAnsi="Tahoma" w:cs="Tahoma"/>
      <w:sz w:val="16"/>
      <w:szCs w:val="16"/>
    </w:rPr>
  </w:style>
  <w:style w:type="character" w:customStyle="1" w:styleId="FooterChar">
    <w:name w:val="Footer Char"/>
    <w:basedOn w:val="DefaultParagraphFont"/>
    <w:link w:val="Footer"/>
    <w:uiPriority w:val="99"/>
    <w:rsid w:val="0020412B"/>
    <w:rPr>
      <w:szCs w:val="24"/>
    </w:rPr>
  </w:style>
  <w:style w:type="paragraph" w:styleId="Revision">
    <w:name w:val="Revision"/>
    <w:hidden/>
    <w:uiPriority w:val="99"/>
    <w:semiHidden/>
    <w:rsid w:val="00E0711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PURPOSE:</vt:lpstr>
    </vt:vector>
  </TitlesOfParts>
  <Company>Systems Design &amp; Development</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creator>Connie Harrell</dc:creator>
  <cp:lastModifiedBy>Mosley, Clayton</cp:lastModifiedBy>
  <cp:revision>1</cp:revision>
  <cp:lastPrinted>2012-07-26T18:27:00Z</cp:lastPrinted>
  <dcterms:created xsi:type="dcterms:W3CDTF">2019-12-13T19:52:00Z</dcterms:created>
  <dcterms:modified xsi:type="dcterms:W3CDTF">2019-12-13T19:52:00Z</dcterms:modified>
</cp:coreProperties>
</file>